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A6D" w:rsidRPr="00721A6D" w:rsidRDefault="00721A6D" w:rsidP="00721A6D">
      <w:pPr>
        <w:rPr>
          <w:rFonts w:ascii="Times New Roman" w:hAnsi="Times New Roman" w:cs="Times New Roman"/>
          <w:b/>
          <w:sz w:val="24"/>
          <w:szCs w:val="24"/>
        </w:rPr>
      </w:pPr>
      <w:r w:rsidRPr="00721A6D">
        <w:rPr>
          <w:rFonts w:ascii="Times New Roman" w:hAnsi="Times New Roman" w:cs="Times New Roman"/>
          <w:b/>
          <w:sz w:val="24"/>
          <w:szCs w:val="24"/>
        </w:rPr>
        <w:t xml:space="preserve">1. Поиск подходящего аукциона </w:t>
      </w:r>
    </w:p>
    <w:p w:rsidR="00721A6D" w:rsidRPr="00721A6D" w:rsidRDefault="00721A6D" w:rsidP="00721A6D">
      <w:pPr>
        <w:rPr>
          <w:rFonts w:ascii="Times New Roman" w:hAnsi="Times New Roman" w:cs="Times New Roman"/>
          <w:sz w:val="24"/>
          <w:szCs w:val="24"/>
        </w:rPr>
      </w:pPr>
      <w:r w:rsidRPr="00721A6D">
        <w:rPr>
          <w:rFonts w:ascii="Times New Roman" w:hAnsi="Times New Roman" w:cs="Times New Roman"/>
          <w:sz w:val="24"/>
          <w:szCs w:val="24"/>
        </w:rPr>
        <w:t xml:space="preserve">Извещение о проведении любого аукциона публикуется на Официальном Общероссийском сайте и размещается на официальном сайте не меньше чем за 7 или 20 дней до даты окончания подачи заявок на участие, в зависимости от начальной максимальной цены. Всего существуют пять федеральных </w:t>
      </w:r>
      <w:r>
        <w:rPr>
          <w:rFonts w:ascii="Times New Roman" w:hAnsi="Times New Roman" w:cs="Times New Roman"/>
          <w:sz w:val="24"/>
          <w:szCs w:val="24"/>
        </w:rPr>
        <w:t xml:space="preserve">электронных торговых площадок: </w:t>
      </w:r>
    </w:p>
    <w:p w:rsidR="00721A6D" w:rsidRPr="00721A6D" w:rsidRDefault="00721A6D" w:rsidP="00721A6D">
      <w:pPr>
        <w:rPr>
          <w:rFonts w:ascii="Times New Roman" w:hAnsi="Times New Roman" w:cs="Times New Roman"/>
          <w:sz w:val="24"/>
          <w:szCs w:val="24"/>
        </w:rPr>
      </w:pPr>
      <w:r w:rsidRPr="00721A6D">
        <w:rPr>
          <w:rFonts w:ascii="Times New Roman" w:hAnsi="Times New Roman" w:cs="Times New Roman"/>
          <w:sz w:val="24"/>
          <w:szCs w:val="24"/>
        </w:rPr>
        <w:t>Сбербанк АСТ</w:t>
      </w:r>
    </w:p>
    <w:p w:rsidR="00721A6D" w:rsidRPr="00721A6D" w:rsidRDefault="00721A6D" w:rsidP="00721A6D">
      <w:pPr>
        <w:rPr>
          <w:rFonts w:ascii="Times New Roman" w:hAnsi="Times New Roman" w:cs="Times New Roman"/>
          <w:sz w:val="24"/>
          <w:szCs w:val="24"/>
        </w:rPr>
      </w:pPr>
      <w:r w:rsidRPr="00721A6D">
        <w:rPr>
          <w:rFonts w:ascii="Times New Roman" w:hAnsi="Times New Roman" w:cs="Times New Roman"/>
          <w:sz w:val="24"/>
          <w:szCs w:val="24"/>
        </w:rPr>
        <w:t xml:space="preserve">«РТС-тендер» </w:t>
      </w:r>
    </w:p>
    <w:p w:rsidR="00721A6D" w:rsidRPr="00721A6D" w:rsidRDefault="00721A6D" w:rsidP="00721A6D">
      <w:pPr>
        <w:rPr>
          <w:rFonts w:ascii="Times New Roman" w:hAnsi="Times New Roman" w:cs="Times New Roman"/>
          <w:sz w:val="24"/>
          <w:szCs w:val="24"/>
        </w:rPr>
      </w:pPr>
      <w:r w:rsidRPr="00721A6D">
        <w:rPr>
          <w:rFonts w:ascii="Times New Roman" w:hAnsi="Times New Roman" w:cs="Times New Roman"/>
          <w:sz w:val="24"/>
          <w:szCs w:val="24"/>
        </w:rPr>
        <w:t>ОАО ММВБ «</w:t>
      </w:r>
      <w:proofErr w:type="spellStart"/>
      <w:r w:rsidRPr="00721A6D">
        <w:rPr>
          <w:rFonts w:ascii="Times New Roman" w:hAnsi="Times New Roman" w:cs="Times New Roman"/>
          <w:sz w:val="24"/>
          <w:szCs w:val="24"/>
        </w:rPr>
        <w:t>Госзакупки</w:t>
      </w:r>
      <w:proofErr w:type="spellEnd"/>
      <w:r w:rsidRPr="00721A6D">
        <w:rPr>
          <w:rFonts w:ascii="Times New Roman" w:hAnsi="Times New Roman" w:cs="Times New Roman"/>
          <w:sz w:val="24"/>
          <w:szCs w:val="24"/>
        </w:rPr>
        <w:t>»</w:t>
      </w:r>
    </w:p>
    <w:p w:rsidR="00721A6D" w:rsidRPr="00721A6D" w:rsidRDefault="00721A6D" w:rsidP="00721A6D">
      <w:pPr>
        <w:rPr>
          <w:rFonts w:ascii="Times New Roman" w:hAnsi="Times New Roman" w:cs="Times New Roman"/>
          <w:sz w:val="24"/>
          <w:szCs w:val="24"/>
        </w:rPr>
      </w:pPr>
      <w:r w:rsidRPr="00721A6D">
        <w:rPr>
          <w:rFonts w:ascii="Times New Roman" w:hAnsi="Times New Roman" w:cs="Times New Roman"/>
          <w:sz w:val="24"/>
          <w:szCs w:val="24"/>
        </w:rPr>
        <w:t>ГУП «Агентство по государственному заказу, инвестиционной деятельности и межрегиональным связям Республики Татарстан»</w:t>
      </w:r>
    </w:p>
    <w:p w:rsidR="00721A6D" w:rsidRPr="00721A6D" w:rsidRDefault="00721A6D" w:rsidP="00721A6D">
      <w:pPr>
        <w:rPr>
          <w:rFonts w:ascii="Times New Roman" w:hAnsi="Times New Roman" w:cs="Times New Roman"/>
          <w:sz w:val="24"/>
          <w:szCs w:val="24"/>
        </w:rPr>
      </w:pPr>
      <w:r w:rsidRPr="00721A6D">
        <w:rPr>
          <w:rFonts w:ascii="Times New Roman" w:hAnsi="Times New Roman" w:cs="Times New Roman"/>
          <w:sz w:val="24"/>
          <w:szCs w:val="24"/>
        </w:rPr>
        <w:t>На каждой площадке есть реестр аукционов и форма поиска. Кроме того, сводный список всех аукционов можно найти на официальном информационном сайте РФ о размещении заказов. Поиск осуществляется по нескольким крит</w:t>
      </w:r>
      <w:r>
        <w:rPr>
          <w:rFonts w:ascii="Times New Roman" w:hAnsi="Times New Roman" w:cs="Times New Roman"/>
          <w:sz w:val="24"/>
          <w:szCs w:val="24"/>
        </w:rPr>
        <w:t>ериям, что облегчают процедуру.</w:t>
      </w:r>
    </w:p>
    <w:p w:rsidR="00721A6D" w:rsidRPr="00721A6D" w:rsidRDefault="00721A6D" w:rsidP="00721A6D">
      <w:pPr>
        <w:rPr>
          <w:rFonts w:ascii="Times New Roman" w:hAnsi="Times New Roman" w:cs="Times New Roman"/>
          <w:sz w:val="24"/>
          <w:szCs w:val="24"/>
        </w:rPr>
      </w:pPr>
      <w:r w:rsidRPr="00721A6D">
        <w:rPr>
          <w:rFonts w:ascii="Times New Roman" w:hAnsi="Times New Roman" w:cs="Times New Roman"/>
          <w:sz w:val="24"/>
          <w:szCs w:val="24"/>
        </w:rPr>
        <w:t>Нормативно-правовым регулированием государственного заказа занимается Минэкономразвития, контроль за размещением заказов осуществляет Федеральная антимонопольная служба, а в отдельных случаях — Федеральна</w:t>
      </w:r>
      <w:r>
        <w:rPr>
          <w:rFonts w:ascii="Times New Roman" w:hAnsi="Times New Roman" w:cs="Times New Roman"/>
          <w:sz w:val="24"/>
          <w:szCs w:val="24"/>
        </w:rPr>
        <w:t xml:space="preserve">я служба по оборонному заказу. </w:t>
      </w:r>
    </w:p>
    <w:p w:rsidR="00721A6D" w:rsidRPr="00721A6D" w:rsidRDefault="00721A6D" w:rsidP="00721A6D">
      <w:pPr>
        <w:rPr>
          <w:rFonts w:ascii="Times New Roman" w:hAnsi="Times New Roman" w:cs="Times New Roman"/>
          <w:b/>
          <w:sz w:val="24"/>
          <w:szCs w:val="24"/>
        </w:rPr>
      </w:pPr>
      <w:r w:rsidRPr="00721A6D">
        <w:rPr>
          <w:rFonts w:ascii="Times New Roman" w:hAnsi="Times New Roman" w:cs="Times New Roman"/>
          <w:b/>
          <w:sz w:val="24"/>
          <w:szCs w:val="24"/>
        </w:rPr>
        <w:t>2. Получение электронной цифровой подписи (ЭЦП)</w:t>
      </w:r>
    </w:p>
    <w:p w:rsidR="00721A6D" w:rsidRPr="00721A6D" w:rsidRDefault="00721A6D" w:rsidP="00721A6D">
      <w:pPr>
        <w:rPr>
          <w:rFonts w:ascii="Times New Roman" w:hAnsi="Times New Roman" w:cs="Times New Roman"/>
          <w:sz w:val="24"/>
          <w:szCs w:val="24"/>
        </w:rPr>
      </w:pPr>
      <w:r w:rsidRPr="00721A6D">
        <w:rPr>
          <w:rFonts w:ascii="Times New Roman" w:hAnsi="Times New Roman" w:cs="Times New Roman"/>
          <w:sz w:val="24"/>
          <w:szCs w:val="24"/>
        </w:rPr>
        <w:t>Купить ЭЦП можно в любом удостоверяющем центре, получившем аккредитацию на той электронной площадке, где вы собираетесь вести торги. Адреса сайтов авторизованных удостоверяющих центров можно узнать на официальном сайте www.zakupki.gov.ru в разделе «Информация для заказчиков</w:t>
      </w:r>
      <w:r>
        <w:rPr>
          <w:rFonts w:ascii="Times New Roman" w:hAnsi="Times New Roman" w:cs="Times New Roman"/>
          <w:sz w:val="24"/>
          <w:szCs w:val="24"/>
        </w:rPr>
        <w:t xml:space="preserve"> и поставщиков».</w:t>
      </w:r>
    </w:p>
    <w:p w:rsidR="00721A6D" w:rsidRPr="00721A6D" w:rsidRDefault="00721A6D" w:rsidP="00721A6D">
      <w:pPr>
        <w:rPr>
          <w:rFonts w:ascii="Times New Roman" w:hAnsi="Times New Roman" w:cs="Times New Roman"/>
          <w:sz w:val="24"/>
          <w:szCs w:val="24"/>
        </w:rPr>
      </w:pPr>
      <w:r w:rsidRPr="00721A6D">
        <w:rPr>
          <w:rFonts w:ascii="Times New Roman" w:hAnsi="Times New Roman" w:cs="Times New Roman"/>
          <w:sz w:val="24"/>
          <w:szCs w:val="24"/>
        </w:rPr>
        <w:t>Процедура получения ЭЦП занимает 2-3 рабочих дня. Подпись позволяет присвоить электронному документу юридический статус и таким образом подтверждает материальную ответственность участников за принимаемые</w:t>
      </w:r>
      <w:r>
        <w:rPr>
          <w:rFonts w:ascii="Times New Roman" w:hAnsi="Times New Roman" w:cs="Times New Roman"/>
          <w:sz w:val="24"/>
          <w:szCs w:val="24"/>
        </w:rPr>
        <w:t xml:space="preserve"> ими в процессе торгов решения.</w:t>
      </w:r>
    </w:p>
    <w:p w:rsidR="00721A6D" w:rsidRPr="00721A6D" w:rsidRDefault="00721A6D" w:rsidP="00721A6D">
      <w:pPr>
        <w:rPr>
          <w:rFonts w:ascii="Times New Roman" w:hAnsi="Times New Roman" w:cs="Times New Roman"/>
          <w:b/>
          <w:sz w:val="24"/>
          <w:szCs w:val="24"/>
        </w:rPr>
      </w:pPr>
      <w:r w:rsidRPr="00721A6D">
        <w:rPr>
          <w:rFonts w:ascii="Times New Roman" w:hAnsi="Times New Roman" w:cs="Times New Roman"/>
          <w:b/>
          <w:sz w:val="24"/>
          <w:szCs w:val="24"/>
        </w:rPr>
        <w:t xml:space="preserve">3. Аккредитация на торговой площадке </w:t>
      </w:r>
    </w:p>
    <w:p w:rsidR="00721A6D" w:rsidRPr="00721A6D" w:rsidRDefault="00721A6D" w:rsidP="00721A6D">
      <w:pPr>
        <w:rPr>
          <w:rFonts w:ascii="Times New Roman" w:hAnsi="Times New Roman" w:cs="Times New Roman"/>
          <w:sz w:val="24"/>
          <w:szCs w:val="24"/>
        </w:rPr>
      </w:pPr>
      <w:r w:rsidRPr="00721A6D">
        <w:rPr>
          <w:rFonts w:ascii="Times New Roman" w:hAnsi="Times New Roman" w:cs="Times New Roman"/>
          <w:sz w:val="24"/>
          <w:szCs w:val="24"/>
        </w:rPr>
        <w:t>Ни одна компания не имеет права участвовать в электронном аукционе без аккредитации на торговой площадке. Для каждой из пяти площадок аккредитаци</w:t>
      </w:r>
      <w:r>
        <w:rPr>
          <w:rFonts w:ascii="Times New Roman" w:hAnsi="Times New Roman" w:cs="Times New Roman"/>
          <w:sz w:val="24"/>
          <w:szCs w:val="24"/>
        </w:rPr>
        <w:t>ю необходимо получать отдельно.</w:t>
      </w:r>
    </w:p>
    <w:p w:rsidR="00721A6D" w:rsidRPr="00721A6D" w:rsidRDefault="00721A6D" w:rsidP="00721A6D">
      <w:pPr>
        <w:rPr>
          <w:rFonts w:ascii="Times New Roman" w:hAnsi="Times New Roman" w:cs="Times New Roman"/>
          <w:sz w:val="24"/>
          <w:szCs w:val="24"/>
        </w:rPr>
      </w:pPr>
      <w:r w:rsidRPr="00721A6D">
        <w:rPr>
          <w:rFonts w:ascii="Times New Roman" w:hAnsi="Times New Roman" w:cs="Times New Roman"/>
          <w:sz w:val="24"/>
          <w:szCs w:val="24"/>
        </w:rPr>
        <w:t xml:space="preserve">Сама процедура проходит следующим образом. Нужно зайти на сайт площадки, заполнить </w:t>
      </w:r>
      <w:proofErr w:type="spellStart"/>
      <w:r w:rsidRPr="00721A6D">
        <w:rPr>
          <w:rFonts w:ascii="Times New Roman" w:hAnsi="Times New Roman" w:cs="Times New Roman"/>
          <w:sz w:val="24"/>
          <w:szCs w:val="24"/>
        </w:rPr>
        <w:t>аккредитационную</w:t>
      </w:r>
      <w:proofErr w:type="spellEnd"/>
      <w:r w:rsidRPr="00721A6D">
        <w:rPr>
          <w:rFonts w:ascii="Times New Roman" w:hAnsi="Times New Roman" w:cs="Times New Roman"/>
          <w:sz w:val="24"/>
          <w:szCs w:val="24"/>
        </w:rPr>
        <w:t xml:space="preserve"> форму и заявление на открытие счета, приложить ряд документов (выписка из ЕГРЮЛ (ЕГРИП для ИП), учредительный документ, доверенность на право участия в торгах, протокол или решение о назначении руководителя, заверенный печатью организации, скан карточки реквизитов компании). </w:t>
      </w:r>
    </w:p>
    <w:p w:rsidR="00721A6D" w:rsidRPr="00721A6D" w:rsidRDefault="00721A6D" w:rsidP="00721A6D">
      <w:pPr>
        <w:rPr>
          <w:rFonts w:ascii="Times New Roman" w:hAnsi="Times New Roman" w:cs="Times New Roman"/>
          <w:sz w:val="24"/>
          <w:szCs w:val="24"/>
        </w:rPr>
      </w:pPr>
      <w:r w:rsidRPr="00721A6D">
        <w:rPr>
          <w:rFonts w:ascii="Times New Roman" w:hAnsi="Times New Roman" w:cs="Times New Roman"/>
          <w:sz w:val="24"/>
          <w:szCs w:val="24"/>
        </w:rPr>
        <w:t>Необходимо разобраться со всеми требованиями, предъявляемыми площадкой. В частности, для участия в торгах надо настроить браузер правильным образом.</w:t>
      </w:r>
    </w:p>
    <w:p w:rsidR="00721A6D" w:rsidRPr="00721A6D" w:rsidRDefault="00721A6D" w:rsidP="00721A6D">
      <w:pPr>
        <w:rPr>
          <w:rFonts w:ascii="Times New Roman" w:hAnsi="Times New Roman" w:cs="Times New Roman"/>
          <w:sz w:val="24"/>
          <w:szCs w:val="24"/>
        </w:rPr>
      </w:pPr>
    </w:p>
    <w:p w:rsidR="00721A6D" w:rsidRPr="00721A6D" w:rsidRDefault="00721A6D" w:rsidP="00721A6D">
      <w:pPr>
        <w:rPr>
          <w:rFonts w:ascii="Times New Roman" w:hAnsi="Times New Roman" w:cs="Times New Roman"/>
          <w:sz w:val="24"/>
          <w:szCs w:val="24"/>
        </w:rPr>
      </w:pPr>
      <w:r w:rsidRPr="00721A6D">
        <w:rPr>
          <w:rFonts w:ascii="Times New Roman" w:hAnsi="Times New Roman" w:cs="Times New Roman"/>
          <w:sz w:val="24"/>
          <w:szCs w:val="24"/>
        </w:rPr>
        <w:lastRenderedPageBreak/>
        <w:t>Оператор площадки в пятидневный срок рассматривает заявку и подтверждает возможность доступа к участию либо отказывает в аккредитации. Отказ должен сопровождаться комментариями с указанием допущенных ошибок. Площадки не устанавливают ограничения по количеству попыток прохождения аккредитации. Но каждая поданная заявка будет рассматривать</w:t>
      </w:r>
      <w:r>
        <w:rPr>
          <w:rFonts w:ascii="Times New Roman" w:hAnsi="Times New Roman" w:cs="Times New Roman"/>
          <w:sz w:val="24"/>
          <w:szCs w:val="24"/>
        </w:rPr>
        <w:t>ся в течение пяти рабочих дней.</w:t>
      </w:r>
    </w:p>
    <w:p w:rsidR="00721A6D" w:rsidRPr="00721A6D" w:rsidRDefault="00721A6D" w:rsidP="00721A6D">
      <w:pPr>
        <w:rPr>
          <w:rFonts w:ascii="Times New Roman" w:hAnsi="Times New Roman" w:cs="Times New Roman"/>
          <w:sz w:val="24"/>
          <w:szCs w:val="24"/>
        </w:rPr>
      </w:pPr>
      <w:r w:rsidRPr="00721A6D">
        <w:rPr>
          <w:rFonts w:ascii="Times New Roman" w:hAnsi="Times New Roman" w:cs="Times New Roman"/>
          <w:sz w:val="24"/>
          <w:szCs w:val="24"/>
        </w:rPr>
        <w:t>Для участия в торгах для каждого аккредитованного поставщика в рамках площадки создается личный кабинет. Функционал личного кабинета позволяет подавать заявки на участие в аукционах, непосредственно участвовать в них, подавать запросы на разъяснение аукционно</w:t>
      </w:r>
      <w:r>
        <w:rPr>
          <w:rFonts w:ascii="Times New Roman" w:hAnsi="Times New Roman" w:cs="Times New Roman"/>
          <w:sz w:val="24"/>
          <w:szCs w:val="24"/>
        </w:rPr>
        <w:t>й документации и многое другое.</w:t>
      </w:r>
    </w:p>
    <w:p w:rsidR="00721A6D" w:rsidRPr="00721A6D" w:rsidRDefault="00721A6D" w:rsidP="00721A6D">
      <w:pPr>
        <w:rPr>
          <w:rFonts w:ascii="Times New Roman" w:hAnsi="Times New Roman" w:cs="Times New Roman"/>
          <w:b/>
          <w:sz w:val="24"/>
          <w:szCs w:val="24"/>
        </w:rPr>
      </w:pPr>
      <w:r w:rsidRPr="00721A6D">
        <w:rPr>
          <w:rFonts w:ascii="Times New Roman" w:hAnsi="Times New Roman" w:cs="Times New Roman"/>
          <w:b/>
          <w:sz w:val="24"/>
          <w:szCs w:val="24"/>
        </w:rPr>
        <w:t>4. Перевод денег на счет</w:t>
      </w:r>
    </w:p>
    <w:p w:rsidR="00721A6D" w:rsidRPr="00721A6D" w:rsidRDefault="00721A6D" w:rsidP="00721A6D">
      <w:pPr>
        <w:rPr>
          <w:rFonts w:ascii="Times New Roman" w:hAnsi="Times New Roman" w:cs="Times New Roman"/>
          <w:sz w:val="24"/>
          <w:szCs w:val="24"/>
        </w:rPr>
      </w:pPr>
      <w:r w:rsidRPr="00721A6D">
        <w:rPr>
          <w:rFonts w:ascii="Times New Roman" w:hAnsi="Times New Roman" w:cs="Times New Roman"/>
          <w:sz w:val="24"/>
          <w:szCs w:val="24"/>
        </w:rPr>
        <w:t xml:space="preserve">Следующий обязательный шаг — это перевод денег на свой счет на торговой площадке для того, чтобы обеспечить свое участие в электронных торгах. Как правило, если торги проводятся среди субъектов малого предпринимательства, этот платеж составляет 2% от максимальной начальной стоимости заказа, во всех остальных случаях — 5% от максимальной начальной стоимости заказа. После окончания аукциона эта сумма </w:t>
      </w:r>
      <w:proofErr w:type="spellStart"/>
      <w:r w:rsidRPr="00721A6D">
        <w:rPr>
          <w:rFonts w:ascii="Times New Roman" w:hAnsi="Times New Roman" w:cs="Times New Roman"/>
          <w:sz w:val="24"/>
          <w:szCs w:val="24"/>
        </w:rPr>
        <w:t>разблокиру</w:t>
      </w:r>
      <w:r>
        <w:rPr>
          <w:rFonts w:ascii="Times New Roman" w:hAnsi="Times New Roman" w:cs="Times New Roman"/>
          <w:sz w:val="24"/>
          <w:szCs w:val="24"/>
        </w:rPr>
        <w:t>ется</w:t>
      </w:r>
      <w:proofErr w:type="spellEnd"/>
      <w:r>
        <w:rPr>
          <w:rFonts w:ascii="Times New Roman" w:hAnsi="Times New Roman" w:cs="Times New Roman"/>
          <w:sz w:val="24"/>
          <w:szCs w:val="24"/>
        </w:rPr>
        <w:t xml:space="preserve"> и ее можно снять со счета.</w:t>
      </w:r>
    </w:p>
    <w:p w:rsidR="00721A6D" w:rsidRPr="00721A6D" w:rsidRDefault="00721A6D" w:rsidP="00721A6D">
      <w:pPr>
        <w:rPr>
          <w:rFonts w:ascii="Times New Roman" w:hAnsi="Times New Roman" w:cs="Times New Roman"/>
          <w:sz w:val="24"/>
          <w:szCs w:val="24"/>
        </w:rPr>
      </w:pPr>
      <w:r w:rsidRPr="00721A6D">
        <w:rPr>
          <w:rFonts w:ascii="Times New Roman" w:hAnsi="Times New Roman" w:cs="Times New Roman"/>
          <w:sz w:val="24"/>
          <w:szCs w:val="24"/>
        </w:rPr>
        <w:t>Как только деньги поступают на счет электронной торговой площадки, у поставщика появляется возможность отправить сво</w:t>
      </w:r>
      <w:r>
        <w:rPr>
          <w:rFonts w:ascii="Times New Roman" w:hAnsi="Times New Roman" w:cs="Times New Roman"/>
          <w:sz w:val="24"/>
          <w:szCs w:val="24"/>
        </w:rPr>
        <w:t>ю заявку на участие в аукционе.</w:t>
      </w:r>
    </w:p>
    <w:p w:rsidR="00721A6D" w:rsidRPr="00721A6D" w:rsidRDefault="00721A6D" w:rsidP="00721A6D">
      <w:pPr>
        <w:rPr>
          <w:rFonts w:ascii="Times New Roman" w:hAnsi="Times New Roman" w:cs="Times New Roman"/>
          <w:b/>
          <w:sz w:val="24"/>
          <w:szCs w:val="24"/>
        </w:rPr>
      </w:pPr>
      <w:bookmarkStart w:id="0" w:name="_GoBack"/>
      <w:r w:rsidRPr="00721A6D">
        <w:rPr>
          <w:rFonts w:ascii="Times New Roman" w:hAnsi="Times New Roman" w:cs="Times New Roman"/>
          <w:b/>
          <w:sz w:val="24"/>
          <w:szCs w:val="24"/>
        </w:rPr>
        <w:t>5. Составление заявки</w:t>
      </w:r>
    </w:p>
    <w:bookmarkEnd w:id="0"/>
    <w:p w:rsidR="00721A6D" w:rsidRPr="00721A6D" w:rsidRDefault="00721A6D" w:rsidP="00721A6D">
      <w:pPr>
        <w:rPr>
          <w:rFonts w:ascii="Times New Roman" w:hAnsi="Times New Roman" w:cs="Times New Roman"/>
          <w:sz w:val="24"/>
          <w:szCs w:val="24"/>
        </w:rPr>
      </w:pPr>
      <w:r w:rsidRPr="00721A6D">
        <w:rPr>
          <w:rFonts w:ascii="Times New Roman" w:hAnsi="Times New Roman" w:cs="Times New Roman"/>
          <w:sz w:val="24"/>
          <w:szCs w:val="24"/>
        </w:rPr>
        <w:t>Составление заявки на участие в аукционе — это самый ответственный этап. Чтобы правильно составить этот документ, нужно очень внимательно читать аукционную документацию. Заявка состоит из двух частей. Первая часть должна быть анонимной, она содержит согласие участника на поставку нужного товара (работ, услуг) и описание их характеристик. Вторая часть содержит сведения об участнике, документы, подтверждающие соответствие участника установленным в аукционной документации требованиям (различные лицензии и серт</w:t>
      </w:r>
      <w:r>
        <w:rPr>
          <w:rFonts w:ascii="Times New Roman" w:hAnsi="Times New Roman" w:cs="Times New Roman"/>
          <w:sz w:val="24"/>
          <w:szCs w:val="24"/>
        </w:rPr>
        <w:t>ификаты).</w:t>
      </w:r>
    </w:p>
    <w:p w:rsidR="00721A6D" w:rsidRPr="00721A6D" w:rsidRDefault="00721A6D" w:rsidP="00721A6D">
      <w:pPr>
        <w:rPr>
          <w:rFonts w:ascii="Times New Roman" w:hAnsi="Times New Roman" w:cs="Times New Roman"/>
          <w:sz w:val="24"/>
          <w:szCs w:val="24"/>
        </w:rPr>
      </w:pPr>
      <w:r w:rsidRPr="00721A6D">
        <w:rPr>
          <w:rFonts w:ascii="Times New Roman" w:hAnsi="Times New Roman" w:cs="Times New Roman"/>
          <w:sz w:val="24"/>
          <w:szCs w:val="24"/>
        </w:rPr>
        <w:t>После истечения срока подачи заявок заказчик формирует протокол рассмотрения первых частей заявок, а оператор площадки обязан в установленные сроки сообщить поставщ</w:t>
      </w:r>
      <w:r>
        <w:rPr>
          <w:rFonts w:ascii="Times New Roman" w:hAnsi="Times New Roman" w:cs="Times New Roman"/>
          <w:sz w:val="24"/>
          <w:szCs w:val="24"/>
        </w:rPr>
        <w:t xml:space="preserve">ику, допущен ли тот до торгов. </w:t>
      </w:r>
    </w:p>
    <w:p w:rsidR="00721A6D" w:rsidRPr="00721A6D" w:rsidRDefault="00721A6D" w:rsidP="00721A6D">
      <w:pPr>
        <w:rPr>
          <w:rFonts w:ascii="Times New Roman" w:hAnsi="Times New Roman" w:cs="Times New Roman"/>
          <w:sz w:val="24"/>
          <w:szCs w:val="24"/>
        </w:rPr>
      </w:pPr>
      <w:r w:rsidRPr="00721A6D">
        <w:rPr>
          <w:rFonts w:ascii="Times New Roman" w:hAnsi="Times New Roman" w:cs="Times New Roman"/>
          <w:sz w:val="24"/>
          <w:szCs w:val="24"/>
        </w:rPr>
        <w:t>Процесс аукциона</w:t>
      </w:r>
    </w:p>
    <w:p w:rsidR="00721A6D" w:rsidRPr="00721A6D" w:rsidRDefault="00721A6D" w:rsidP="00721A6D">
      <w:pPr>
        <w:rPr>
          <w:rFonts w:ascii="Times New Roman" w:hAnsi="Times New Roman" w:cs="Times New Roman"/>
          <w:sz w:val="24"/>
          <w:szCs w:val="24"/>
        </w:rPr>
      </w:pPr>
      <w:r w:rsidRPr="00721A6D">
        <w:rPr>
          <w:rFonts w:ascii="Times New Roman" w:hAnsi="Times New Roman" w:cs="Times New Roman"/>
          <w:sz w:val="24"/>
          <w:szCs w:val="24"/>
        </w:rPr>
        <w:t>При участии в электронном аукционе обращайте внимание на следующие основные моменты: время, оставшееся до окончания аукциона, и шаг аукциона. Шаг аукциона строго определен законодательством — полпроцента от начальной максимальной стоимости заказа. Каждый раз участнику дается 10 минут на размышление, выступать ли с</w:t>
      </w:r>
      <w:r>
        <w:rPr>
          <w:rFonts w:ascii="Times New Roman" w:hAnsi="Times New Roman" w:cs="Times New Roman"/>
          <w:sz w:val="24"/>
          <w:szCs w:val="24"/>
        </w:rPr>
        <w:t xml:space="preserve"> предложением о понижении цены.</w:t>
      </w:r>
    </w:p>
    <w:p w:rsidR="00721A6D" w:rsidRPr="00721A6D" w:rsidRDefault="00721A6D" w:rsidP="00721A6D">
      <w:pPr>
        <w:rPr>
          <w:rFonts w:ascii="Times New Roman" w:hAnsi="Times New Roman" w:cs="Times New Roman"/>
          <w:sz w:val="24"/>
          <w:szCs w:val="24"/>
        </w:rPr>
      </w:pPr>
      <w:r w:rsidRPr="00721A6D">
        <w:rPr>
          <w:rFonts w:ascii="Times New Roman" w:hAnsi="Times New Roman" w:cs="Times New Roman"/>
          <w:sz w:val="24"/>
          <w:szCs w:val="24"/>
        </w:rPr>
        <w:t>Участник открытого аукциона не вправе подавать предложение о цене контракта, равное или большее чем предложения, поданные участниками аукциона ранее, а также предложение о цене контракта, равное нулю. Участник также не может подавать предложение о цене контракта ниже, чем текущее минимальное предложение о цене контракта, сниженного на шаг аукциона.</w:t>
      </w:r>
    </w:p>
    <w:p w:rsidR="00721A6D" w:rsidRPr="00721A6D" w:rsidRDefault="00721A6D" w:rsidP="00721A6D">
      <w:pPr>
        <w:rPr>
          <w:rFonts w:ascii="Times New Roman" w:hAnsi="Times New Roman" w:cs="Times New Roman"/>
          <w:sz w:val="24"/>
          <w:szCs w:val="24"/>
        </w:rPr>
      </w:pPr>
    </w:p>
    <w:p w:rsidR="00721A6D" w:rsidRPr="00721A6D" w:rsidRDefault="00721A6D" w:rsidP="00721A6D">
      <w:pPr>
        <w:rPr>
          <w:rFonts w:ascii="Times New Roman" w:hAnsi="Times New Roman" w:cs="Times New Roman"/>
          <w:sz w:val="24"/>
          <w:szCs w:val="24"/>
        </w:rPr>
      </w:pPr>
      <w:r w:rsidRPr="00721A6D">
        <w:rPr>
          <w:rFonts w:ascii="Times New Roman" w:hAnsi="Times New Roman" w:cs="Times New Roman"/>
          <w:sz w:val="24"/>
          <w:szCs w:val="24"/>
        </w:rPr>
        <w:lastRenderedPageBreak/>
        <w:t>Торги считаются завершенными, если через 10 минут после предъявления самой низкой ставки никто не внес более выгодного предложения.</w:t>
      </w:r>
    </w:p>
    <w:p w:rsidR="00721A6D" w:rsidRPr="00721A6D" w:rsidRDefault="00721A6D" w:rsidP="00721A6D">
      <w:pPr>
        <w:rPr>
          <w:rFonts w:ascii="Times New Roman" w:hAnsi="Times New Roman" w:cs="Times New Roman"/>
          <w:sz w:val="24"/>
          <w:szCs w:val="24"/>
        </w:rPr>
      </w:pPr>
    </w:p>
    <w:p w:rsidR="00721A6D" w:rsidRPr="00721A6D" w:rsidRDefault="00721A6D" w:rsidP="00721A6D">
      <w:pPr>
        <w:rPr>
          <w:rFonts w:ascii="Times New Roman" w:hAnsi="Times New Roman" w:cs="Times New Roman"/>
          <w:sz w:val="24"/>
          <w:szCs w:val="24"/>
        </w:rPr>
      </w:pPr>
      <w:r w:rsidRPr="00721A6D">
        <w:rPr>
          <w:rFonts w:ascii="Times New Roman" w:hAnsi="Times New Roman" w:cs="Times New Roman"/>
          <w:sz w:val="24"/>
          <w:szCs w:val="24"/>
        </w:rPr>
        <w:t>Система в течение нескольких минут автоматически формирует протокол с итогами торгов, где указаны лучшие ставки. Все участники скрыты под номерами.</w:t>
      </w:r>
    </w:p>
    <w:p w:rsidR="00721A6D" w:rsidRPr="00721A6D" w:rsidRDefault="00721A6D" w:rsidP="00721A6D">
      <w:pPr>
        <w:rPr>
          <w:rFonts w:ascii="Times New Roman" w:hAnsi="Times New Roman" w:cs="Times New Roman"/>
          <w:sz w:val="24"/>
          <w:szCs w:val="24"/>
        </w:rPr>
      </w:pPr>
    </w:p>
    <w:p w:rsidR="00721A6D" w:rsidRPr="00721A6D" w:rsidRDefault="00721A6D" w:rsidP="00721A6D">
      <w:pPr>
        <w:rPr>
          <w:rFonts w:ascii="Times New Roman" w:hAnsi="Times New Roman" w:cs="Times New Roman"/>
          <w:sz w:val="24"/>
          <w:szCs w:val="24"/>
        </w:rPr>
      </w:pPr>
      <w:r w:rsidRPr="00721A6D">
        <w:rPr>
          <w:rFonts w:ascii="Times New Roman" w:hAnsi="Times New Roman" w:cs="Times New Roman"/>
          <w:sz w:val="24"/>
          <w:szCs w:val="24"/>
        </w:rPr>
        <w:t>Только после проведения аукциона к заказчикам перейдут вторые части заявок, из которых они узнают, какие компании под какими номерами скрыты. По результатам рассмотрения вторых частей заявок выявляется победитель, которому и высылают государственный контракт. Его надо подписать в электронной форме в установленные сроки.</w:t>
      </w:r>
    </w:p>
    <w:p w:rsidR="00721A6D" w:rsidRPr="00721A6D" w:rsidRDefault="00721A6D" w:rsidP="00721A6D">
      <w:pPr>
        <w:rPr>
          <w:rFonts w:ascii="Times New Roman" w:hAnsi="Times New Roman" w:cs="Times New Roman"/>
          <w:sz w:val="24"/>
          <w:szCs w:val="24"/>
        </w:rPr>
      </w:pPr>
    </w:p>
    <w:p w:rsidR="00721A6D" w:rsidRPr="00721A6D" w:rsidRDefault="00721A6D" w:rsidP="00721A6D">
      <w:pPr>
        <w:rPr>
          <w:rFonts w:ascii="Times New Roman" w:hAnsi="Times New Roman" w:cs="Times New Roman"/>
          <w:sz w:val="24"/>
          <w:szCs w:val="24"/>
        </w:rPr>
      </w:pPr>
      <w:r w:rsidRPr="00721A6D">
        <w:rPr>
          <w:rFonts w:ascii="Times New Roman" w:hAnsi="Times New Roman" w:cs="Times New Roman"/>
          <w:sz w:val="24"/>
          <w:szCs w:val="24"/>
        </w:rPr>
        <w:t>Также необходимо предоставить обеспечение контракта. Его размер определен 94-ФЗ и составляет до 30% от начальной максимальной цены контракта. Эта сумма может быть переведена на временный счет заказчика или представлена в виде банковской гарантии.</w:t>
      </w:r>
    </w:p>
    <w:p w:rsidR="00AF6DE0" w:rsidRDefault="00AF6DE0" w:rsidP="00721A6D"/>
    <w:sectPr w:rsidR="00AF6D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6D"/>
    <w:rsid w:val="00721A6D"/>
    <w:rsid w:val="00AF6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AA4FC-37CA-41F9-A845-99169B9A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879</Words>
  <Characters>5011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cp:revision>
  <dcterms:created xsi:type="dcterms:W3CDTF">2018-05-04T16:13:00Z</dcterms:created>
  <dcterms:modified xsi:type="dcterms:W3CDTF">2018-05-04T16:16:00Z</dcterms:modified>
</cp:coreProperties>
</file>